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EE0DFE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7D4BF0"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B93620" w:rsidRPr="00544608" w:rsidTr="003F0615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2477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B93620" w:rsidRPr="00544608" w:rsidRDefault="00B93620" w:rsidP="002477A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3F0615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2477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B93620" w:rsidRPr="00544608" w:rsidRDefault="00B93620" w:rsidP="002477A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3F0615">
        <w:tc>
          <w:tcPr>
            <w:tcW w:w="4680" w:type="dxa"/>
          </w:tcPr>
          <w:p w:rsidR="00B93620" w:rsidRPr="00544608" w:rsidRDefault="00B93620" w:rsidP="002477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B93620" w:rsidRPr="00544608" w:rsidRDefault="00B93620" w:rsidP="002477A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CD2600">
        <w:rPr>
          <w:rFonts w:ascii="Arial" w:hAnsi="Arial" w:cs="Arial"/>
        </w:rPr>
        <w:t>(ПРОЕКТ)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B93620" w:rsidP="002477A8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r w:rsidR="007D4BF0">
        <w:rPr>
          <w:rFonts w:ascii="Arial" w:hAnsi="Arial" w:cs="Arial"/>
          <w:b/>
          <w:bCs/>
        </w:rPr>
        <w:t>Орлов</w:t>
      </w:r>
      <w:r>
        <w:rPr>
          <w:rFonts w:ascii="Arial" w:hAnsi="Arial" w:cs="Arial"/>
          <w:b/>
          <w:bCs/>
        </w:rPr>
        <w:t>ского сельского поселения</w:t>
      </w:r>
    </w:p>
    <w:p w:rsidR="00B93620" w:rsidRPr="00577AA7" w:rsidRDefault="00B93620" w:rsidP="00B93620">
      <w:pPr>
        <w:jc w:val="center"/>
      </w:pPr>
    </w:p>
    <w:p w:rsidR="00B93620" w:rsidRPr="001231F2" w:rsidRDefault="00B93620" w:rsidP="00B9362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r w:rsidR="007D4BF0">
        <w:rPr>
          <w:sz w:val="24"/>
          <w:szCs w:val="24"/>
        </w:rPr>
        <w:t>Орлов</w:t>
      </w:r>
      <w:r>
        <w:rPr>
          <w:sz w:val="24"/>
          <w:szCs w:val="24"/>
        </w:rPr>
        <w:t>ское сельское поселение»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7D4BF0">
        <w:rPr>
          <w:rFonts w:ascii="Arial" w:hAnsi="Arial" w:cs="Arial"/>
        </w:rPr>
        <w:t>Орлов</w:t>
      </w:r>
      <w:r>
        <w:rPr>
          <w:rFonts w:ascii="Arial" w:hAnsi="Arial" w:cs="Arial"/>
        </w:rPr>
        <w:t>ского сельского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7D4BF0">
        <w:rPr>
          <w:rFonts w:ascii="Arial" w:hAnsi="Arial" w:cs="Arial"/>
          <w:sz w:val="24"/>
          <w:szCs w:val="24"/>
          <w:lang w:eastAsia="ru-RU"/>
        </w:rPr>
        <w:t>Орлов</w:t>
      </w:r>
      <w:r>
        <w:rPr>
          <w:rFonts w:ascii="Arial" w:hAnsi="Arial" w:cs="Arial"/>
          <w:sz w:val="24"/>
          <w:szCs w:val="24"/>
          <w:lang w:eastAsia="ru-RU"/>
        </w:rPr>
        <w:t>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2477A8"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460FCB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460FCB">
        <w:rPr>
          <w:rFonts w:ascii="Arial" w:hAnsi="Arial" w:cs="Arial"/>
          <w:color w:val="auto"/>
        </w:rPr>
        <w:t xml:space="preserve">Опубликовать решение в информационном вестнике </w:t>
      </w:r>
      <w:proofErr w:type="spellStart"/>
      <w:r w:rsidRPr="00460FCB">
        <w:rPr>
          <w:rFonts w:ascii="Arial" w:hAnsi="Arial" w:cs="Arial"/>
          <w:color w:val="auto"/>
        </w:rPr>
        <w:t>Верхнекетского</w:t>
      </w:r>
      <w:proofErr w:type="spellEnd"/>
      <w:r w:rsidRPr="00460FCB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460FCB">
        <w:rPr>
          <w:rFonts w:ascii="Arial" w:hAnsi="Arial" w:cs="Arial"/>
          <w:color w:val="auto"/>
        </w:rPr>
        <w:t>Верхнекетского</w:t>
      </w:r>
      <w:proofErr w:type="spellEnd"/>
      <w:r w:rsidRPr="00460FCB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B93620" w:rsidRPr="008C2576" w:rsidRDefault="00B93620" w:rsidP="00D07F6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460FCB">
        <w:rPr>
          <w:rFonts w:ascii="Arial" w:hAnsi="Arial" w:cs="Arial"/>
          <w:color w:val="auto"/>
        </w:rPr>
        <w:t xml:space="preserve">4. </w:t>
      </w:r>
      <w:proofErr w:type="gramStart"/>
      <w:r w:rsidRPr="00460FCB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7D4BF0">
        <w:rPr>
          <w:rFonts w:ascii="Arial" w:hAnsi="Arial" w:cs="Arial"/>
          <w:color w:val="auto"/>
        </w:rPr>
        <w:t>Орлов</w:t>
      </w:r>
      <w:r>
        <w:rPr>
          <w:rFonts w:ascii="Arial" w:hAnsi="Arial" w:cs="Arial"/>
          <w:color w:val="auto"/>
        </w:rPr>
        <w:t>ского сельского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577AA7" w:rsidRDefault="00B93620" w:rsidP="00B93620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r w:rsidR="007D4BF0">
        <w:rPr>
          <w:rFonts w:ascii="Arial" w:hAnsi="Arial" w:cs="Arial"/>
        </w:rPr>
        <w:t>Орлов</w:t>
      </w:r>
      <w:r>
        <w:rPr>
          <w:rFonts w:ascii="Arial" w:hAnsi="Arial" w:cs="Arial"/>
        </w:rPr>
        <w:t xml:space="preserve">ского сельского поселения                                    </w:t>
      </w:r>
      <w:r w:rsidR="00D07F6F">
        <w:rPr>
          <w:rFonts w:ascii="Arial" w:hAnsi="Arial" w:cs="Arial"/>
        </w:rPr>
        <w:t xml:space="preserve">              </w:t>
      </w:r>
      <w:r w:rsidR="003F0615">
        <w:rPr>
          <w:rFonts w:ascii="Arial" w:hAnsi="Arial" w:cs="Arial"/>
        </w:rPr>
        <w:t xml:space="preserve">      </w:t>
      </w:r>
      <w:proofErr w:type="spellStart"/>
      <w:r w:rsidR="00B320FA">
        <w:rPr>
          <w:rFonts w:ascii="Arial" w:hAnsi="Arial" w:cs="Arial"/>
        </w:rPr>
        <w:t>Е.М.Стражева</w:t>
      </w:r>
      <w:proofErr w:type="spellEnd"/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3F0615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4F0DA8" w:rsidRDefault="004F0DA8" w:rsidP="004F0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r w:rsidR="007D4BF0">
        <w:rPr>
          <w:rFonts w:ascii="Arial" w:hAnsi="Arial" w:cs="Arial"/>
        </w:rPr>
        <w:t>Орлов</w:t>
      </w:r>
      <w:r>
        <w:rPr>
          <w:rFonts w:ascii="Arial" w:hAnsi="Arial" w:cs="Arial"/>
        </w:rPr>
        <w:t>ского сельского поселения</w:t>
      </w:r>
    </w:p>
    <w:p w:rsidR="004F0DA8" w:rsidRPr="00501806" w:rsidRDefault="004F0DA8" w:rsidP="004F0DA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D07F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от  __.</w:t>
      </w:r>
      <w:r w:rsidR="00282FB8">
        <w:rPr>
          <w:rFonts w:ascii="Arial" w:hAnsi="Arial" w:cs="Arial"/>
        </w:rPr>
        <w:t>__</w:t>
      </w:r>
      <w:r>
        <w:rPr>
          <w:rFonts w:ascii="Arial" w:hAnsi="Arial" w:cs="Arial"/>
        </w:rPr>
        <w:t>.2015 № ___</w:t>
      </w:r>
    </w:p>
    <w:p w:rsidR="004F0DA8" w:rsidRPr="00AE00D9" w:rsidRDefault="004F0DA8" w:rsidP="004F0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4F0DA8" w:rsidRDefault="007D4BF0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</w:t>
      </w:r>
      <w:r w:rsidR="004F0DA8">
        <w:rPr>
          <w:rFonts w:ascii="Arial" w:hAnsi="Arial" w:cs="Arial"/>
          <w:b/>
          <w:bCs/>
        </w:rPr>
        <w:t>ского сельского поселения</w:t>
      </w: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F0DA8" w:rsidRPr="00AE00D9" w:rsidRDefault="004F0DA8" w:rsidP="004F0DA8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4F0DA8" w:rsidRPr="00AE00D9" w:rsidRDefault="004F0DA8" w:rsidP="004F0DA8">
      <w:pPr>
        <w:ind w:left="-567" w:firstLine="851"/>
        <w:rPr>
          <w:rFonts w:ascii="Arial" w:hAnsi="Arial" w:cs="Arial"/>
        </w:rPr>
      </w:pPr>
    </w:p>
    <w:p w:rsidR="004F0DA8" w:rsidRPr="00231D65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r w:rsidR="007D4BF0">
        <w:rPr>
          <w:rFonts w:ascii="Arial" w:hAnsi="Arial" w:cs="Arial"/>
          <w:color w:val="000000"/>
        </w:rPr>
        <w:t>Орлов</w:t>
      </w:r>
      <w:r>
        <w:rPr>
          <w:rFonts w:ascii="Arial" w:hAnsi="Arial" w:cs="Arial"/>
          <w:color w:val="000000"/>
        </w:rPr>
        <w:t>ского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="00D8152C">
        <w:rPr>
          <w:rFonts w:ascii="Arial" w:hAnsi="Arial" w:cs="Arial"/>
        </w:rPr>
        <w:t xml:space="preserve">водоснабжения и водоотведения, </w:t>
      </w:r>
      <w:r w:rsidRPr="00AE00D9">
        <w:rPr>
          <w:rFonts w:ascii="Arial" w:hAnsi="Arial" w:cs="Arial"/>
        </w:rPr>
        <w:t>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</w:t>
      </w:r>
      <w:proofErr w:type="gramEnd"/>
      <w:r w:rsidRPr="00AE00D9">
        <w:rPr>
          <w:rFonts w:ascii="Arial" w:hAnsi="Arial" w:cs="Arial"/>
        </w:rPr>
        <w:t xml:space="preserve">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r w:rsidR="007D4BF0"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 xml:space="preserve">ского сельского поселения, утверждённого решением Совета </w:t>
      </w:r>
      <w:r w:rsidR="007D4BF0"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>ского сельского поселения от 1</w:t>
      </w:r>
      <w:r w:rsidR="005A26BD">
        <w:rPr>
          <w:rFonts w:ascii="Arial" w:hAnsi="Arial" w:cs="Arial"/>
        </w:rPr>
        <w:t>4</w:t>
      </w:r>
      <w:r w:rsidRPr="00231D65">
        <w:rPr>
          <w:rFonts w:ascii="Arial" w:hAnsi="Arial" w:cs="Arial"/>
        </w:rPr>
        <w:t>.11.2013 №</w:t>
      </w:r>
      <w:r w:rsidR="005A26BD">
        <w:rPr>
          <w:rFonts w:ascii="Arial" w:hAnsi="Arial" w:cs="Arial"/>
        </w:rPr>
        <w:t>34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4F0DA8" w:rsidRPr="00AE00D9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5B545D" w:rsidRDefault="004F0DA8" w:rsidP="005B545D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5B545D" w:rsidRDefault="004F0DA8" w:rsidP="005B545D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5B545D" w:rsidRDefault="004F0DA8" w:rsidP="005B545D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4F0DA8" w:rsidRPr="005B545D" w:rsidRDefault="004F0DA8" w:rsidP="005B545D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4F0DA8" w:rsidRPr="00AE00D9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4F0DA8" w:rsidRPr="00AE00D9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F0615" w:rsidRPr="00FA354C" w:rsidRDefault="003F0615" w:rsidP="003F0615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3F0615" w:rsidRPr="00FA354C" w:rsidRDefault="003F0615" w:rsidP="003F0615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560"/>
        <w:gridCol w:w="1417"/>
        <w:gridCol w:w="2268"/>
        <w:gridCol w:w="1843"/>
      </w:tblGrid>
      <w:tr w:rsidR="003F0615" w:rsidRPr="00FA354C" w:rsidTr="003F061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F0615" w:rsidRPr="00FA354C" w:rsidTr="003F0615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3F0615" w:rsidRPr="00FA354C" w:rsidTr="003F0615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</w:tbl>
    <w:p w:rsidR="003F0615" w:rsidRPr="00FA354C" w:rsidRDefault="003F0615" w:rsidP="003F0615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3F0615" w:rsidRPr="00FA354C" w:rsidRDefault="003F0615" w:rsidP="003F0615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</w:t>
      </w:r>
      <w:r w:rsidRPr="00FA354C">
        <w:rPr>
          <w:rFonts w:ascii="Arial" w:hAnsi="Arial" w:cs="Arial"/>
        </w:rPr>
        <w:lastRenderedPageBreak/>
        <w:t xml:space="preserve">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3F0615" w:rsidRPr="00FA354C" w:rsidRDefault="003F0615" w:rsidP="003F0615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3F0615" w:rsidRPr="00FA354C" w:rsidRDefault="003F0615" w:rsidP="003F0615">
      <w:pPr>
        <w:pStyle w:val="31"/>
        <w:numPr>
          <w:ilvl w:val="1"/>
          <w:numId w:val="1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3F0615" w:rsidRPr="00FA354C" w:rsidRDefault="003F0615" w:rsidP="003F061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843"/>
      </w:tblGrid>
      <w:tr w:rsidR="003F0615" w:rsidRPr="00FA354C" w:rsidTr="003F0615">
        <w:trPr>
          <w:trHeight w:val="417"/>
        </w:trPr>
        <w:tc>
          <w:tcPr>
            <w:tcW w:w="490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2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F0615" w:rsidRPr="00FA354C" w:rsidTr="003F0615">
        <w:trPr>
          <w:trHeight w:val="606"/>
        </w:trPr>
        <w:tc>
          <w:tcPr>
            <w:tcW w:w="490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3F0615" w:rsidRPr="00FA354C" w:rsidRDefault="00DC4547" w:rsidP="003F061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0,11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3F0615" w:rsidRPr="00FA354C" w:rsidTr="003F0615">
        <w:trPr>
          <w:trHeight w:val="537"/>
        </w:trPr>
        <w:tc>
          <w:tcPr>
            <w:tcW w:w="490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F0615" w:rsidRPr="00FA354C" w:rsidRDefault="00DC4547" w:rsidP="003F061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0,04</w:t>
            </w:r>
          </w:p>
        </w:tc>
        <w:tc>
          <w:tcPr>
            <w:tcW w:w="2268" w:type="dxa"/>
            <w:vMerge/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F0615" w:rsidRPr="00FA354C" w:rsidTr="003F0615">
        <w:trPr>
          <w:trHeight w:val="828"/>
        </w:trPr>
        <w:tc>
          <w:tcPr>
            <w:tcW w:w="490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F0615" w:rsidRPr="00FA354C" w:rsidTr="003F0615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3F0615" w:rsidRPr="00FA354C" w:rsidRDefault="003F0615" w:rsidP="003F0615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3F0615" w:rsidRPr="00FA354C" w:rsidRDefault="003F0615" w:rsidP="003F0615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3F0615" w:rsidRPr="00FA354C" w:rsidRDefault="003F0615" w:rsidP="003F0615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0615" w:rsidRPr="00FA354C" w:rsidRDefault="003F0615" w:rsidP="003F0615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3F0615" w:rsidRPr="00FA354C" w:rsidRDefault="003F0615" w:rsidP="003F0615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843"/>
      </w:tblGrid>
      <w:tr w:rsidR="003F0615" w:rsidRPr="00FA354C" w:rsidTr="003F0615">
        <w:trPr>
          <w:trHeight w:val="293"/>
        </w:trPr>
        <w:tc>
          <w:tcPr>
            <w:tcW w:w="490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F0615" w:rsidRPr="00FA354C" w:rsidTr="003F0615">
        <w:trPr>
          <w:trHeight w:val="954"/>
        </w:trPr>
        <w:tc>
          <w:tcPr>
            <w:tcW w:w="490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3F0615" w:rsidRPr="00FA354C" w:rsidRDefault="003F0615" w:rsidP="003F06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F0615" w:rsidRPr="00FA354C" w:rsidRDefault="00DC4547" w:rsidP="003F0615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0,10</w:t>
            </w:r>
          </w:p>
        </w:tc>
        <w:tc>
          <w:tcPr>
            <w:tcW w:w="2268" w:type="dxa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3F0615" w:rsidRPr="00FA354C" w:rsidTr="003F0615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3F0615" w:rsidRPr="00FA354C" w:rsidRDefault="003F0615" w:rsidP="003F0615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3F0615" w:rsidRPr="00FA354C" w:rsidRDefault="003F0615" w:rsidP="003F0615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3F0615" w:rsidRPr="008370F6" w:rsidRDefault="003F0615" w:rsidP="003F0615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F0615" w:rsidRPr="00FA354C" w:rsidRDefault="003F0615" w:rsidP="003F0615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3F0615" w:rsidRPr="00FA354C" w:rsidRDefault="003F0615" w:rsidP="003F0615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487"/>
        <w:gridCol w:w="1559"/>
        <w:gridCol w:w="1560"/>
        <w:gridCol w:w="2551"/>
        <w:gridCol w:w="1843"/>
      </w:tblGrid>
      <w:tr w:rsidR="003F0615" w:rsidRPr="00FA354C" w:rsidTr="003F0615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F0615" w:rsidRPr="00FA354C" w:rsidTr="003F0615">
        <w:trPr>
          <w:trHeight w:val="11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</w:t>
            </w:r>
            <w:r w:rsidRPr="00FA354C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Материалы по обоснованию,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F0615" w:rsidRPr="00FA354C" w:rsidTr="003F0615">
        <w:trPr>
          <w:trHeight w:val="55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3F0615" w:rsidRPr="00FA354C" w:rsidTr="003F0615">
        <w:trPr>
          <w:trHeight w:val="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</w:tbl>
    <w:p w:rsidR="003F0615" w:rsidRPr="00FA354C" w:rsidRDefault="003F0615" w:rsidP="003F0615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3F0615" w:rsidRPr="00FA354C" w:rsidRDefault="003F0615" w:rsidP="003F0615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3F0615" w:rsidRPr="00FA354C" w:rsidRDefault="003F0615" w:rsidP="003F0615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F0615" w:rsidRPr="00FA354C" w:rsidRDefault="003F0615" w:rsidP="003F0615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3F0615" w:rsidRPr="00FA354C" w:rsidRDefault="003F0615" w:rsidP="003F0615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3F0615" w:rsidRPr="00FA354C" w:rsidRDefault="003F0615" w:rsidP="003F0615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96"/>
        <w:gridCol w:w="1490"/>
        <w:gridCol w:w="1417"/>
        <w:gridCol w:w="2268"/>
        <w:gridCol w:w="1843"/>
      </w:tblGrid>
      <w:tr w:rsidR="003F0615" w:rsidRPr="00FA354C" w:rsidTr="003F0615">
        <w:trPr>
          <w:trHeight w:val="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F0615" w:rsidRPr="00FA354C" w:rsidTr="003F0615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677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7981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F0615" w:rsidRPr="00FA354C" w:rsidTr="003F0615">
        <w:trPr>
          <w:trHeight w:val="76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533187" w:rsidRDefault="003F0615" w:rsidP="003F0615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3F0615" w:rsidRPr="00FA354C" w:rsidTr="003F0615">
        <w:trPr>
          <w:trHeight w:val="53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3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</w:tbl>
    <w:p w:rsidR="003F0615" w:rsidRPr="00FA354C" w:rsidRDefault="003F0615" w:rsidP="003F0615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3F0615" w:rsidRPr="00FA354C" w:rsidRDefault="003F0615" w:rsidP="003F0615">
      <w:pPr>
        <w:pStyle w:val="12"/>
        <w:numPr>
          <w:ilvl w:val="2"/>
          <w:numId w:val="14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3F0615" w:rsidRPr="00FA354C" w:rsidRDefault="003F0615" w:rsidP="003F0615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F0615" w:rsidRPr="00533187" w:rsidRDefault="003F0615" w:rsidP="003F0615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3F0615" w:rsidRPr="00FA354C" w:rsidRDefault="003F0615" w:rsidP="003F0615">
      <w:pPr>
        <w:pStyle w:val="12"/>
        <w:numPr>
          <w:ilvl w:val="1"/>
          <w:numId w:val="14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3F0615" w:rsidRPr="00FA354C" w:rsidRDefault="003F0615" w:rsidP="003F0615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01"/>
        <w:gridCol w:w="1559"/>
        <w:gridCol w:w="1560"/>
        <w:gridCol w:w="2551"/>
        <w:gridCol w:w="1843"/>
      </w:tblGrid>
      <w:tr w:rsidR="003F0615" w:rsidRPr="00FA354C" w:rsidTr="003F0615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F0615" w:rsidRPr="00FA354C" w:rsidTr="003F0615">
        <w:trPr>
          <w:trHeight w:val="1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F0615" w:rsidRPr="00FA354C" w:rsidTr="003F0615">
        <w:trPr>
          <w:trHeight w:val="8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533187" w:rsidRDefault="003F0615" w:rsidP="003F0615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3F0615" w:rsidRPr="00FA354C" w:rsidRDefault="003F0615" w:rsidP="003F0615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3F0615" w:rsidRPr="00FA354C" w:rsidRDefault="003F0615" w:rsidP="003F0615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F0615" w:rsidRPr="00533187" w:rsidRDefault="003F0615" w:rsidP="003F0615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3F0615" w:rsidRPr="00FA354C" w:rsidRDefault="003F0615" w:rsidP="003F0615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3F0615" w:rsidRPr="00FA354C" w:rsidRDefault="003F0615" w:rsidP="003F0615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010"/>
        <w:gridCol w:w="1442"/>
        <w:gridCol w:w="1343"/>
        <w:gridCol w:w="2296"/>
        <w:gridCol w:w="1909"/>
      </w:tblGrid>
      <w:tr w:rsidR="003F0615" w:rsidRPr="00FA354C" w:rsidTr="003F0615">
        <w:trPr>
          <w:trHeight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F0615" w:rsidRPr="00FA354C" w:rsidTr="003F0615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</w:t>
            </w:r>
            <w:r w:rsidRPr="00FA354C">
              <w:rPr>
                <w:rFonts w:ascii="Arial" w:hAnsi="Arial" w:cs="Arial"/>
              </w:rPr>
              <w:lastRenderedPageBreak/>
              <w:t xml:space="preserve">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Материалы по обоснованию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часть 6,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F0615" w:rsidRPr="00FA354C" w:rsidTr="003F0615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</w:tbl>
    <w:p w:rsidR="003F0615" w:rsidRPr="00FA354C" w:rsidRDefault="003F0615" w:rsidP="003F0615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8152C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3F0615" w:rsidRPr="00FA354C" w:rsidRDefault="003F0615" w:rsidP="003F0615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F0615" w:rsidRPr="00533187" w:rsidRDefault="003F0615" w:rsidP="003F0615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F0615" w:rsidRPr="00FA354C" w:rsidRDefault="00D8152C" w:rsidP="00D8152C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3F0615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3F0615" w:rsidRPr="00FA354C" w:rsidRDefault="003F0615" w:rsidP="003F0615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8152C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74"/>
        <w:gridCol w:w="1470"/>
        <w:gridCol w:w="1603"/>
        <w:gridCol w:w="2552"/>
        <w:gridCol w:w="1701"/>
      </w:tblGrid>
      <w:tr w:rsidR="003F0615" w:rsidRPr="00FA354C" w:rsidTr="003F0615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F0615" w:rsidRPr="00FA354C" w:rsidTr="003F0615">
        <w:trPr>
          <w:trHeight w:val="1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27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35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3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40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  <w:tr w:rsidR="003F0615" w:rsidRPr="00FA354C" w:rsidTr="003F0615">
        <w:trPr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F0615" w:rsidRPr="00FA354C" w:rsidRDefault="003F0615" w:rsidP="003F0615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A06F8A" w:rsidRDefault="003F0615" w:rsidP="003F0615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5" w:rsidRPr="00FA354C" w:rsidRDefault="003F0615" w:rsidP="003F0615">
            <w:pPr>
              <w:rPr>
                <w:rFonts w:ascii="Arial" w:hAnsi="Arial" w:cs="Arial"/>
              </w:rPr>
            </w:pPr>
          </w:p>
        </w:tc>
      </w:tr>
    </w:tbl>
    <w:p w:rsidR="003F0615" w:rsidRPr="00FA354C" w:rsidRDefault="003F0615" w:rsidP="003F0615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8152C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3F0615" w:rsidRPr="00FA354C" w:rsidRDefault="003F0615" w:rsidP="003F0615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AE00D9" w:rsidRDefault="004F0DA8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lastRenderedPageBreak/>
        <w:t>3. ПРАВИЛА И ОБЛАСТЬ ПРИМЕНЕНИЯ НОРМАТИВОВ ГРАДОСТРОИТЕЛЬНОГО ПРОЕКТИРОВАНИЯ</w:t>
      </w:r>
    </w:p>
    <w:p w:rsidR="004F0DA8" w:rsidRPr="00960E4C" w:rsidRDefault="004F0DA8" w:rsidP="004F0DA8">
      <w:pPr>
        <w:rPr>
          <w:rFonts w:ascii="Arial" w:hAnsi="Arial" w:cs="Arial"/>
          <w:sz w:val="16"/>
          <w:szCs w:val="16"/>
        </w:rPr>
      </w:pP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4F0DA8" w:rsidRPr="006A73F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D07F6F" w:rsidRDefault="004F0DA8" w:rsidP="00D07F6F">
      <w:pPr>
        <w:pStyle w:val="1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r w:rsidR="007D4BF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 xml:space="preserve">ского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D07F6F" w:rsidRDefault="004F0DA8" w:rsidP="00D07F6F">
      <w:pPr>
        <w:pStyle w:val="1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07F6F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7D4BF0" w:rsidRPr="00D07F6F">
        <w:rPr>
          <w:rFonts w:ascii="Arial" w:hAnsi="Arial" w:cs="Arial"/>
          <w:sz w:val="24"/>
          <w:szCs w:val="24"/>
        </w:rPr>
        <w:t>Орлов</w:t>
      </w:r>
      <w:r w:rsidRPr="00D07F6F">
        <w:rPr>
          <w:rFonts w:ascii="Arial" w:hAnsi="Arial" w:cs="Arial"/>
          <w:sz w:val="24"/>
          <w:szCs w:val="24"/>
        </w:rPr>
        <w:t>ского сельского поселения;</w:t>
      </w:r>
    </w:p>
    <w:p w:rsidR="004F0DA8" w:rsidRPr="00D07F6F" w:rsidRDefault="004F0DA8" w:rsidP="00D07F6F">
      <w:pPr>
        <w:pStyle w:val="1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07F6F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7D4BF0" w:rsidRPr="00D07F6F">
        <w:rPr>
          <w:rFonts w:ascii="Arial" w:hAnsi="Arial" w:cs="Arial"/>
          <w:sz w:val="24"/>
          <w:szCs w:val="24"/>
        </w:rPr>
        <w:t>Орлов</w:t>
      </w:r>
      <w:r w:rsidRPr="00D07F6F">
        <w:rPr>
          <w:rFonts w:ascii="Arial" w:hAnsi="Arial" w:cs="Arial"/>
          <w:sz w:val="24"/>
          <w:szCs w:val="24"/>
        </w:rPr>
        <w:t>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sectPr w:rsidR="004F0DA8" w:rsidRPr="00D07F6F" w:rsidSect="003F0615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85" w:rsidRDefault="00571685" w:rsidP="00E838BC">
      <w:r>
        <w:separator/>
      </w:r>
    </w:p>
  </w:endnote>
  <w:endnote w:type="continuationSeparator" w:id="0">
    <w:p w:rsidR="00571685" w:rsidRDefault="00571685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15" w:rsidRDefault="003746F3" w:rsidP="002477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06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52C">
      <w:rPr>
        <w:rStyle w:val="a6"/>
        <w:noProof/>
      </w:rPr>
      <w:t>7</w:t>
    </w:r>
    <w:r>
      <w:rPr>
        <w:rStyle w:val="a6"/>
      </w:rPr>
      <w:fldChar w:fldCharType="end"/>
    </w:r>
  </w:p>
  <w:p w:rsidR="003F0615" w:rsidRDefault="003F0615" w:rsidP="002477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85" w:rsidRDefault="00571685" w:rsidP="00E838BC">
      <w:r>
        <w:separator/>
      </w:r>
    </w:p>
  </w:footnote>
  <w:footnote w:type="continuationSeparator" w:id="0">
    <w:p w:rsidR="00571685" w:rsidRDefault="00571685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F76146"/>
    <w:multiLevelType w:val="hybridMultilevel"/>
    <w:tmpl w:val="FF7AA7E0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75E7C41"/>
    <w:multiLevelType w:val="hybridMultilevel"/>
    <w:tmpl w:val="30D0E23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2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>
    <w:nsid w:val="7A2D70A2"/>
    <w:multiLevelType w:val="multilevel"/>
    <w:tmpl w:val="7C82E9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92F"/>
    <w:rsid w:val="00027FCD"/>
    <w:rsid w:val="000341D5"/>
    <w:rsid w:val="0004733D"/>
    <w:rsid w:val="00084695"/>
    <w:rsid w:val="00095DD9"/>
    <w:rsid w:val="000A300F"/>
    <w:rsid w:val="000C2B1A"/>
    <w:rsid w:val="000D057A"/>
    <w:rsid w:val="000D1344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477A8"/>
    <w:rsid w:val="00266129"/>
    <w:rsid w:val="00273506"/>
    <w:rsid w:val="00282FB8"/>
    <w:rsid w:val="00290801"/>
    <w:rsid w:val="002A007D"/>
    <w:rsid w:val="002A560C"/>
    <w:rsid w:val="002C546E"/>
    <w:rsid w:val="00327470"/>
    <w:rsid w:val="00327FB6"/>
    <w:rsid w:val="00341C7B"/>
    <w:rsid w:val="00343A5D"/>
    <w:rsid w:val="00344A6C"/>
    <w:rsid w:val="003454FE"/>
    <w:rsid w:val="00345E3A"/>
    <w:rsid w:val="003551FE"/>
    <w:rsid w:val="00373D0B"/>
    <w:rsid w:val="003746F3"/>
    <w:rsid w:val="0038599E"/>
    <w:rsid w:val="0039443F"/>
    <w:rsid w:val="003969BA"/>
    <w:rsid w:val="003B78DF"/>
    <w:rsid w:val="003C1E43"/>
    <w:rsid w:val="003C43B5"/>
    <w:rsid w:val="003E0578"/>
    <w:rsid w:val="003E3717"/>
    <w:rsid w:val="003F0615"/>
    <w:rsid w:val="00407E0B"/>
    <w:rsid w:val="0041080B"/>
    <w:rsid w:val="00412793"/>
    <w:rsid w:val="00422394"/>
    <w:rsid w:val="00422BC4"/>
    <w:rsid w:val="0042471D"/>
    <w:rsid w:val="004318A9"/>
    <w:rsid w:val="0043684F"/>
    <w:rsid w:val="00460FCB"/>
    <w:rsid w:val="004876A9"/>
    <w:rsid w:val="00494C37"/>
    <w:rsid w:val="004B331A"/>
    <w:rsid w:val="004C0ED3"/>
    <w:rsid w:val="004C641B"/>
    <w:rsid w:val="004D1416"/>
    <w:rsid w:val="004E1392"/>
    <w:rsid w:val="004F0DA8"/>
    <w:rsid w:val="00500A29"/>
    <w:rsid w:val="00505BA0"/>
    <w:rsid w:val="00545805"/>
    <w:rsid w:val="00546BD7"/>
    <w:rsid w:val="00571685"/>
    <w:rsid w:val="00571E29"/>
    <w:rsid w:val="00575D32"/>
    <w:rsid w:val="00587100"/>
    <w:rsid w:val="005A26BD"/>
    <w:rsid w:val="005B545D"/>
    <w:rsid w:val="005B685F"/>
    <w:rsid w:val="005C27BF"/>
    <w:rsid w:val="005C4891"/>
    <w:rsid w:val="005E5744"/>
    <w:rsid w:val="005F1BB3"/>
    <w:rsid w:val="00611A91"/>
    <w:rsid w:val="00626E20"/>
    <w:rsid w:val="006441C7"/>
    <w:rsid w:val="00660FD3"/>
    <w:rsid w:val="00661929"/>
    <w:rsid w:val="00676024"/>
    <w:rsid w:val="00677119"/>
    <w:rsid w:val="00677981"/>
    <w:rsid w:val="00683FE8"/>
    <w:rsid w:val="006854F6"/>
    <w:rsid w:val="0069396E"/>
    <w:rsid w:val="00696628"/>
    <w:rsid w:val="006A5DF0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177FD"/>
    <w:rsid w:val="00727A92"/>
    <w:rsid w:val="00753442"/>
    <w:rsid w:val="00756258"/>
    <w:rsid w:val="00784CC2"/>
    <w:rsid w:val="007D4BF0"/>
    <w:rsid w:val="007F47E0"/>
    <w:rsid w:val="00810E8E"/>
    <w:rsid w:val="008177E2"/>
    <w:rsid w:val="00820CA8"/>
    <w:rsid w:val="0084329F"/>
    <w:rsid w:val="00845B1F"/>
    <w:rsid w:val="0085600A"/>
    <w:rsid w:val="00857A6C"/>
    <w:rsid w:val="0086009F"/>
    <w:rsid w:val="0086289C"/>
    <w:rsid w:val="00876E30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60E4C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82D0A"/>
    <w:rsid w:val="00AA6CB9"/>
    <w:rsid w:val="00AC45FB"/>
    <w:rsid w:val="00AF0A68"/>
    <w:rsid w:val="00B0664F"/>
    <w:rsid w:val="00B107A9"/>
    <w:rsid w:val="00B15017"/>
    <w:rsid w:val="00B15ECF"/>
    <w:rsid w:val="00B320FA"/>
    <w:rsid w:val="00B36AF3"/>
    <w:rsid w:val="00B461E4"/>
    <w:rsid w:val="00B46278"/>
    <w:rsid w:val="00B67808"/>
    <w:rsid w:val="00B70919"/>
    <w:rsid w:val="00B765B1"/>
    <w:rsid w:val="00B92697"/>
    <w:rsid w:val="00B93620"/>
    <w:rsid w:val="00BA10D7"/>
    <w:rsid w:val="00BA4C83"/>
    <w:rsid w:val="00BA751F"/>
    <w:rsid w:val="00BB58DA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2C5A"/>
    <w:rsid w:val="00C848A9"/>
    <w:rsid w:val="00C97BA7"/>
    <w:rsid w:val="00CA2FA0"/>
    <w:rsid w:val="00CC14AB"/>
    <w:rsid w:val="00CC377E"/>
    <w:rsid w:val="00CD2600"/>
    <w:rsid w:val="00CF1AC0"/>
    <w:rsid w:val="00CF7E7B"/>
    <w:rsid w:val="00D07F6F"/>
    <w:rsid w:val="00D16796"/>
    <w:rsid w:val="00D24EF0"/>
    <w:rsid w:val="00D273E9"/>
    <w:rsid w:val="00D47F67"/>
    <w:rsid w:val="00D8152C"/>
    <w:rsid w:val="00D83925"/>
    <w:rsid w:val="00D87980"/>
    <w:rsid w:val="00D923FC"/>
    <w:rsid w:val="00DA01BC"/>
    <w:rsid w:val="00DC4547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75362"/>
    <w:rsid w:val="00E838BC"/>
    <w:rsid w:val="00EB08E7"/>
    <w:rsid w:val="00ED0EB0"/>
    <w:rsid w:val="00ED1C40"/>
    <w:rsid w:val="00EF2C20"/>
    <w:rsid w:val="00F164DD"/>
    <w:rsid w:val="00F207F9"/>
    <w:rsid w:val="00F22201"/>
    <w:rsid w:val="00F23152"/>
    <w:rsid w:val="00F42ABD"/>
    <w:rsid w:val="00F75C25"/>
    <w:rsid w:val="00F94483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3F0615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3F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2015-03-27T08:19:00Z</cp:lastPrinted>
  <dcterms:created xsi:type="dcterms:W3CDTF">2015-04-07T09:41:00Z</dcterms:created>
  <dcterms:modified xsi:type="dcterms:W3CDTF">2015-04-08T13:39:00Z</dcterms:modified>
</cp:coreProperties>
</file>